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80" w:before="180" w:line="386.1" w:lineRule="auto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480"/>
        <w:tblGridChange w:id="0">
          <w:tblGrid>
            <w:gridCol w:w="2520"/>
            <w:gridCol w:w="6480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Pieczęć zakładu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PROCEDURA DOTYCZĄCA PRZECHOWYWANIA SZCZEPIONEK</w:t>
            </w:r>
          </w:p>
        </w:tc>
      </w:tr>
    </w:tbl>
    <w:p w:rsidR="00000000" w:rsidDel="00000000" w:rsidP="00000000" w:rsidRDefault="00000000" w:rsidRPr="00000000">
      <w:pPr>
        <w:spacing w:after="180" w:before="180" w:line="386.1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right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Data opracowania: dd.mm.rrrr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center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I. CEL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Procedura dotyczy  jednolitych zasad przechowywania szczepionek oraz postępowania ze szczepionkami w przypadku awarii lodówki, braku dopływu energii elektrycznej oraz rozmrażania i mycia lodówki.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center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II. ODPOWIEDZIALNOŚĆ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Za prawidłowe stosowanie niniejszej procedury odpowiadają: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Za wprowadzenie i nadzór nad odpowiednim stosowaniem odpowiada:………….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Procedura ma zastosowanie dla lodówek umieszczonych w następujących pomieszczeniach: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Lodówka/i w pomieszczeniu numer …..….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Lodówka/i w pomieszczeniu numer …..….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Lodówka/i w pomieszczeniu numer …..…. 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center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III. TRYB POSTĘPOWANIA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Zasady przechowywania szczepionek: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Szczepionki przechowywane są pod zamknięciem w specjalnie do tego przeznaczonych lodówkach. Temperatura właściwa do przechowywania szczepionek to 2 – 8 stopni Celsjusza.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Każda z lodówek wyposażona jest w „System Monitorowania Temperatury z Powiadomieniem” typu Efento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Opis czujników i procedury ich okresowego wzorcowania znajduje się w Załączniku I do niniejszej procedury.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Pomiar wykonywany jest przez każdy z czujników co …… i archiwizowany w pamięci urządzenia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Pomiary temperatury przechowywane są w pamięci stacji bazowej. Pomiary, 30 dnia każdego miesiąca, przesyłane są w formie raportu na e-mail………………. i dodatkowo archiwizowane na dysku komputera zlokalizowanego w…………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Stacja bazowa na bieżąco porównuje zmierzoną temperaturę z ustalonymi progami alarmowymi i w przypadku przekroczenia któregoś z nich natychmiast wysyła SMS na wpisane numery telefonów 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dolny próg temperatury ustalono na ..…. stopni Celsjusza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górny próg temperatury ustalono na ……. stopni Celsjusza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 Alarmy SMS wysyłane są do następujących pracowników, na następujące numery telefonów: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……………………………………………, nr telefonu: ……………………..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……………………………………………, nr telefonu: ……………………..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……………………………………………, nr telefonu: ……………………..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Dodatkowo, stacja bazowa wysyła powiadomienie SMS w przypadku: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przekroczenia progu alarmowego (możliwość konfiguracji górnych i dolnych progów) (od razu po przekroczeniu progu)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powrotu temperatury do bezpiecznego zakresu (od razu po powrocie do ustalonego zakresu)Powrotu temperatury do bezpiecznego zakresu ………. stopni Celsjusza (natychmiast po powrocie do zakresu)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utraty zasilania i przejścia na zasilanie bateryjne (10 min po utracie zasilania)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powrotu zasilania sieciowego (natychmiast po powrocie zasilania sieciowego)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utraty łączności z sensorem (10 min po utracie połączenia)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odzyskania łączności z sensorem (od razu po odzyskaniu połączenia)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 Pracownik, który otrzymał SMS z alarmem powinien niezwłocznie sprawdzić pracę urządzenia chłodniczego, którego dotyczył alarm. Sprawdzić należy, czy urządzenie nie uległo awarii i czy nie utraciło zasilania.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 Po sprawdzeniu systemu powinien sporządzić notatkę opisującą rodzaj awarii i podjęte działania oraz przekazać ją osobie sprawującej nadzór nad systemem.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Zasady postępowania ze szczepionkami w przypadku awarii urządzeń chłodniczych i w przypadku braku dopływu energii elektrycznej: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 przypadku awarii lodówki należy niezwłocznie zgłosić ten fakt Kierownikowi Poradni i poinformować elektryka. W trakcie trwania awarii należy pozostawić sensor Efento wewnątrz lodówki.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 czas usunięcia awarii należy przełożyć lub przenieść (w torbie z wkładem chłodniczym) szczepionki do innej lodówki. W torbie należy umieścić dodatkowy bezprzewodowy czujnik temperatury Efento, aby monitorować temperaturę w jej wnętrzu w trakcie przenoszenia.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Czas trwania awarii, w którym temperatura wynosiła powyżej 8 stopni Celsjusza lub poniżej 2 stopni Celsjusza zostanie zarejestrowany w pamięci stacji bazowej.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 usunięciu awarii, przygotować lodówkę do użytkowania poprzez: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zdezynfekowanie środkiem dezynfekującym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 okresie działania środka dezynfekującego umyć i osuszyć lodówkę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włączyć lodówkę, 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5. Po otrzymaniu SMS informującego o powrocie temperatury do zakresu właściwego do przechowywania szczepionek (2-8 stopni Celsjusza) należy przełożyć lub przenieść szczepionki do właściwej lodówki.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W przypadku braku dostawy energii elektrycznej należy niezwłocznie zgłosić ten fakt Kierownikowi Poradni, a ten z kolei informuje o tym elektryka.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Jeśli  czas usunięcia usterki będzie: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krótki (poniżej 20 minut) szczepionki należy pozostawić w lodówce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480" w:before="60" w:lineRule="auto"/>
        <w:ind w:left="2320" w:hanging="360"/>
        <w:contextualSpacing w:val="1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długi (powyżej 20 minut) należy kontrolować temperaturę w lodówce, a jeżeli w tym czasie temperatura zacznie wzrastać powyżej 8 stopni Celsjusza- szczepionki należy przełożyć do zastępczej lodówki (w torbach z wkładem chłodniczym).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u w:val="single"/>
          <w:rtl w:val="0"/>
        </w:rPr>
        <w:t xml:space="preserve">Zasady postępowania ze szczepionkami w przypadku rozmrażania i mycia lodówki: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Lodówkę należy rozmrażać zgodnie z zaleceniami producenta. Jeśli lodówka nie posiada funkcji automatycznego rozmrażania należy rozmrażać ją regularnie, zgodnie z instrukcją obsługi. Nigdy nie używać do usuwania lodu żadnych ostrych przedmiotów gdyż można uszkodzić powłokę izolacyjną.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Rozmrażanie i mycie przeprowadza się co………….. miesiące. Osobą odpowiedzialną jest…………………., która odnotowuje wykonanie obsługi na formularzu Zał 1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 przypadku rozmrażania i mycia lodówki należy przełożyć lub przenieść szczepionki do lodówki zastępczej lub ewentualnie do specjalnego, zamykanego chłodzonego pojemnika. W lodówce zastępczej/pojemniku chłodzącym należy umieścić dodatkowy czujnik temperatury, aby monitorować temperaturę w jej wnętrzu w trakcie przenoszenia.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Wyłączyć lodówkę na czas rozmrażania jakiego potrzebuje ten typ urządzenia. W trakcie rozmrażania usunąć czujnik Efento z lodówki (alarm SMS o przekroczeniu temperatury wynikający z wyciągnięcia czujnika z lodówki należy zignorować).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Zdezynfekować lodówkę środkami dezynfekującymi dopuszczanymi przez producenta.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 upływie działania środka dezynfekującego umyć i osuszyć lodówkę.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300" w:line="386.1" w:lineRule="auto"/>
        <w:ind w:left="1140" w:hanging="360"/>
        <w:contextualSpacing w:val="1"/>
        <w:jc w:val="both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Włączyć lodówkę, umieścić z powrotem czujnik Efento wewnątrz lodówki i po otrzymaniu SMS o powrocie temperatury do zakresu właściwego dla przechowywania szczepionek, przenieść szczepionki do właściwej lodówki.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480" w:before="180" w:line="386.1" w:lineRule="auto"/>
        <w:ind w:left="1140" w:hanging="360"/>
        <w:contextualSpacing w:val="1"/>
        <w:jc w:val="center"/>
        <w:rPr>
          <w:color w:val="00000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IV. WZORCOWANIE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1.System monitoringu temperatury posiada świadectwo wzorcowania…………………… wydane przez………………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Ustala się okres wzorcowania co………………………….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ze względu na stabilne warunki pracy ustala się wzorcowanie w okresach dwuletnich w razie awarii lub  podejrzenia złych wskazań natychmiastowe wzorcowanie zleci Jan Kowalski (to przykładowa propozycja wpisu)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………………………………………………………………………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podpis osoby odpowiedzialnej za nadzór nad stosowaniem procedury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1. ………………………………………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2. ………………………………………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3. ………………………………………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podpisy osób odpowiedzialnych za  przestrzeganie procedury</w:t>
      </w:r>
    </w:p>
    <w:p w:rsidR="00000000" w:rsidDel="00000000" w:rsidP="00000000" w:rsidRDefault="00000000" w:rsidRPr="00000000">
      <w:pPr>
        <w:spacing w:after="180" w:before="180" w:line="386.1" w:lineRule="auto"/>
        <w:contextualSpacing w:val="0"/>
        <w:jc w:val="center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ZAŁĄCZNIK 1 – TERMINY ROZMRAŻANIA I MYCIA LODÓWEK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4575"/>
        <w:gridCol w:w="2745"/>
        <w:tblGridChange w:id="0">
          <w:tblGrid>
            <w:gridCol w:w="1695"/>
            <w:gridCol w:w="4575"/>
            <w:gridCol w:w="2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cfcfc" w:val="clear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cfcfc" w:val="clear"/>
                <w:rtl w:val="0"/>
              </w:rPr>
              <w:t xml:space="preserve">LODÓWKA PODDANA ROZMRAŻANIU I MYCIU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cfcfc" w:val="clear"/>
                <w:rtl w:val="0"/>
              </w:rPr>
              <w:t xml:space="preserve">CZYTELNY PODPIS OSOBY ODPOWIEDZIALNEJ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666666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